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80B" w:rsidRPr="0095480B" w:rsidRDefault="0095480B" w:rsidP="0095480B">
      <w:pPr>
        <w:pStyle w:val="Odstavekseznama"/>
        <w:keepNext/>
        <w:widowControl/>
        <w:numPr>
          <w:ilvl w:val="2"/>
          <w:numId w:val="3"/>
        </w:numPr>
        <w:spacing w:before="240" w:after="60" w:line="240" w:lineRule="auto"/>
        <w:jc w:val="both"/>
        <w:outlineLvl w:val="2"/>
        <w:rPr>
          <w:rFonts w:ascii="Tahoma" w:eastAsia="Times New Roman" w:hAnsi="Tahoma" w:cs="Tahoma"/>
          <w:b/>
          <w:bCs/>
          <w:sz w:val="20"/>
          <w:szCs w:val="20"/>
          <w:lang w:val="sl-SI" w:eastAsia="sl-SI"/>
        </w:rPr>
      </w:pPr>
      <w:bookmarkStart w:id="0" w:name="_Toc476738877"/>
      <w:r w:rsidRPr="0095480B">
        <w:rPr>
          <w:rFonts w:ascii="Tahoma" w:eastAsia="Times New Roman" w:hAnsi="Tahoma" w:cs="Tahoma"/>
          <w:b/>
          <w:bCs/>
          <w:sz w:val="20"/>
          <w:szCs w:val="20"/>
          <w:lang w:val="sl-SI" w:eastAsia="sl-SI"/>
        </w:rPr>
        <w:t>Mehanizacija, orodja in ostala oprema izvajalca</w:t>
      </w:r>
      <w:bookmarkEnd w:id="0"/>
    </w:p>
    <w:p w:rsidR="0095480B" w:rsidRPr="0095480B" w:rsidRDefault="0095480B" w:rsidP="0095480B">
      <w:pPr>
        <w:jc w:val="both"/>
        <w:rPr>
          <w:rFonts w:ascii="Tahoma" w:eastAsia="Times New Roman" w:hAnsi="Tahoma" w:cs="Tahoma"/>
          <w:spacing w:val="-4"/>
          <w:sz w:val="20"/>
          <w:szCs w:val="20"/>
          <w:lang w:val="sl-SI"/>
        </w:rPr>
      </w:pPr>
      <w:r w:rsidRPr="0095480B">
        <w:rPr>
          <w:rFonts w:ascii="Tahoma" w:eastAsia="Times New Roman" w:hAnsi="Tahoma" w:cs="Tahoma"/>
          <w:spacing w:val="-4"/>
          <w:sz w:val="20"/>
          <w:szCs w:val="20"/>
          <w:lang w:val="sl-SI"/>
        </w:rPr>
        <w:t>Izvajalec je dolžan za nemoteno izvajanje del zagotoviti ustrezno tirno mehanizacijo in splošno gradbeno mehanizacijo na način in v obsegu, ki zagotavlja izvedbo vseh pogodbenih del v obsegu in rokih, kot so določeni v pogodbi oziroma razpisni dokumentaciji.</w:t>
      </w:r>
      <w:r>
        <w:rPr>
          <w:rFonts w:ascii="Tahoma" w:eastAsia="Times New Roman" w:hAnsi="Tahoma" w:cs="Tahoma"/>
          <w:spacing w:val="-4"/>
          <w:sz w:val="20"/>
          <w:szCs w:val="20"/>
          <w:lang w:val="sl-SI"/>
        </w:rPr>
        <w:t xml:space="preserve"> </w:t>
      </w:r>
      <w:r w:rsidRPr="0095480B">
        <w:rPr>
          <w:rFonts w:ascii="Tahoma" w:eastAsia="Times New Roman" w:hAnsi="Tahoma" w:cs="Tahoma"/>
          <w:spacing w:val="-4"/>
          <w:sz w:val="20"/>
          <w:szCs w:val="20"/>
          <w:lang w:val="sl-SI"/>
        </w:rPr>
        <w:t xml:space="preserve">Za izvedbo del na voznem omrežju oziroma vlečenje vodnikov mora ponudnik razpolagati  z ustrezno mehanizacijo in skrbeti, da je  na razpolago, ko je potrebna. </w:t>
      </w:r>
    </w:p>
    <w:p w:rsidR="0095480B" w:rsidRPr="0095480B" w:rsidRDefault="0095480B" w:rsidP="0095480B">
      <w:pPr>
        <w:jc w:val="both"/>
        <w:rPr>
          <w:rFonts w:ascii="Tahoma" w:eastAsia="Times New Roman" w:hAnsi="Tahoma" w:cs="Tahoma"/>
          <w:spacing w:val="-4"/>
          <w:sz w:val="20"/>
          <w:szCs w:val="20"/>
          <w:lang w:val="sl-SI"/>
        </w:rPr>
      </w:pPr>
      <w:r w:rsidRPr="0095480B">
        <w:rPr>
          <w:rFonts w:ascii="Tahoma" w:eastAsia="Times New Roman" w:hAnsi="Tahoma" w:cs="Tahoma"/>
          <w:spacing w:val="-4"/>
          <w:sz w:val="20"/>
          <w:szCs w:val="20"/>
          <w:lang w:val="sl-SI"/>
        </w:rPr>
        <w:t>Za izvajanje del na voznem omrežju  mora izvajalec razpolagati vsaj z:</w:t>
      </w:r>
    </w:p>
    <w:p w:rsidR="0095480B" w:rsidRPr="0095480B" w:rsidRDefault="0095480B" w:rsidP="0095480B">
      <w:pPr>
        <w:numPr>
          <w:ilvl w:val="0"/>
          <w:numId w:val="2"/>
        </w:numPr>
        <w:jc w:val="both"/>
        <w:rPr>
          <w:rFonts w:ascii="Tahoma" w:eastAsia="Times New Roman" w:hAnsi="Tahoma" w:cs="Tahoma"/>
          <w:spacing w:val="-4"/>
          <w:sz w:val="20"/>
          <w:szCs w:val="20"/>
          <w:lang w:val="sl-SI"/>
        </w:rPr>
      </w:pPr>
      <w:r w:rsidRPr="0095480B">
        <w:rPr>
          <w:rFonts w:ascii="Tahoma" w:eastAsia="Times New Roman" w:hAnsi="Tahoma" w:cs="Tahoma"/>
          <w:spacing w:val="-4"/>
          <w:sz w:val="20"/>
          <w:szCs w:val="20"/>
          <w:lang w:val="sl-SI"/>
        </w:rPr>
        <w:t xml:space="preserve">Specialnim sestavom oziroma vlakom za vlečenje vodnikov, katerih maksimalna vlečna kapaciteta ne presega 60% skupne pretržne sile voznega voda do 440 mm2 (2 x nosilna vrv 120 mm2 in 2 x kontaktni vodnik 100 mm2). Specialni vlak mora biti opremljen z zategovalnimi napravami, ki omogočajo vlečenje vodnikov pri konstantni zatezni sili v vodnikih; </w:t>
      </w:r>
    </w:p>
    <w:p w:rsidR="0095480B" w:rsidRPr="0095480B" w:rsidRDefault="0095480B" w:rsidP="0095480B">
      <w:pPr>
        <w:numPr>
          <w:ilvl w:val="0"/>
          <w:numId w:val="2"/>
        </w:numPr>
        <w:jc w:val="both"/>
        <w:rPr>
          <w:rFonts w:ascii="Tahoma" w:eastAsia="Times New Roman" w:hAnsi="Tahoma" w:cs="Tahoma"/>
          <w:spacing w:val="-4"/>
          <w:sz w:val="20"/>
          <w:szCs w:val="20"/>
          <w:lang w:val="sl-SI"/>
        </w:rPr>
      </w:pPr>
      <w:r w:rsidRPr="0095480B">
        <w:rPr>
          <w:rFonts w:ascii="Tahoma" w:eastAsia="Times New Roman" w:hAnsi="Tahoma" w:cs="Tahoma"/>
          <w:spacing w:val="-4"/>
          <w:sz w:val="20"/>
          <w:szCs w:val="20"/>
          <w:lang w:val="sl-SI"/>
        </w:rPr>
        <w:t xml:space="preserve">Dve ali več težkih motornih drezin opremljeno za delo na voznem omrežju; </w:t>
      </w:r>
    </w:p>
    <w:p w:rsidR="0095480B" w:rsidRPr="0095480B" w:rsidRDefault="0095480B" w:rsidP="0095480B">
      <w:pPr>
        <w:numPr>
          <w:ilvl w:val="0"/>
          <w:numId w:val="2"/>
        </w:numPr>
        <w:jc w:val="both"/>
        <w:rPr>
          <w:rFonts w:ascii="Tahoma" w:eastAsia="Times New Roman" w:hAnsi="Tahoma" w:cs="Tahoma"/>
          <w:spacing w:val="-4"/>
          <w:sz w:val="20"/>
          <w:szCs w:val="20"/>
          <w:lang w:val="sl-SI"/>
        </w:rPr>
      </w:pPr>
      <w:r w:rsidRPr="0095480B">
        <w:rPr>
          <w:rFonts w:ascii="Tahoma" w:eastAsia="Times New Roman" w:hAnsi="Tahoma" w:cs="Tahoma"/>
          <w:spacing w:val="-4"/>
          <w:sz w:val="20"/>
          <w:szCs w:val="20"/>
          <w:lang w:val="sl-SI"/>
        </w:rPr>
        <w:t xml:space="preserve">Osem ali več samohodnih vozičkov za delo na voznem omrežju; </w:t>
      </w:r>
    </w:p>
    <w:p w:rsidR="0095480B" w:rsidRPr="0095480B" w:rsidRDefault="0095480B" w:rsidP="0095480B">
      <w:pPr>
        <w:numPr>
          <w:ilvl w:val="0"/>
          <w:numId w:val="2"/>
        </w:numPr>
        <w:jc w:val="both"/>
        <w:rPr>
          <w:rFonts w:ascii="Tahoma" w:eastAsia="Times New Roman" w:hAnsi="Tahoma" w:cs="Tahoma"/>
          <w:spacing w:val="-4"/>
          <w:sz w:val="20"/>
          <w:szCs w:val="20"/>
          <w:lang w:val="sl-SI"/>
        </w:rPr>
      </w:pPr>
      <w:r w:rsidRPr="0095480B">
        <w:rPr>
          <w:rFonts w:ascii="Tahoma" w:eastAsia="Times New Roman" w:hAnsi="Tahoma" w:cs="Tahoma"/>
          <w:spacing w:val="-4"/>
          <w:sz w:val="20"/>
          <w:szCs w:val="20"/>
          <w:lang w:val="sl-SI"/>
        </w:rPr>
        <w:t xml:space="preserve">Dva ali več vagonov za  skladiščenje in prevoz materiala, opreme in naprav; </w:t>
      </w:r>
    </w:p>
    <w:p w:rsidR="0095480B" w:rsidRPr="0095480B" w:rsidRDefault="0095480B" w:rsidP="0095480B">
      <w:pPr>
        <w:pStyle w:val="Odstavekseznama"/>
        <w:numPr>
          <w:ilvl w:val="0"/>
          <w:numId w:val="2"/>
        </w:numPr>
        <w:jc w:val="both"/>
        <w:rPr>
          <w:rFonts w:ascii="Tahoma" w:eastAsia="Times New Roman" w:hAnsi="Tahoma" w:cs="Tahoma"/>
          <w:spacing w:val="-4"/>
          <w:sz w:val="20"/>
          <w:szCs w:val="20"/>
          <w:lang w:val="sl-SI"/>
        </w:rPr>
      </w:pPr>
      <w:r w:rsidRPr="0095480B">
        <w:rPr>
          <w:rFonts w:ascii="Tahoma" w:eastAsia="Times New Roman" w:hAnsi="Tahoma" w:cs="Tahoma"/>
          <w:spacing w:val="-4"/>
          <w:sz w:val="20"/>
          <w:szCs w:val="20"/>
          <w:lang w:val="sl-SI"/>
        </w:rPr>
        <w:t>Rekuperator za demontažo voznega voda v celoti.</w:t>
      </w:r>
    </w:p>
    <w:p w:rsidR="0095480B" w:rsidRPr="0095480B" w:rsidRDefault="0095480B" w:rsidP="0095480B">
      <w:pPr>
        <w:jc w:val="both"/>
        <w:rPr>
          <w:rFonts w:ascii="Tahoma" w:eastAsia="Times New Roman" w:hAnsi="Tahoma" w:cs="Tahoma"/>
          <w:spacing w:val="-4"/>
          <w:sz w:val="20"/>
          <w:szCs w:val="20"/>
          <w:lang w:val="sl-SI"/>
        </w:rPr>
      </w:pPr>
      <w:r w:rsidRPr="0095480B">
        <w:rPr>
          <w:rFonts w:ascii="Tahoma" w:eastAsia="Times New Roman" w:hAnsi="Tahoma" w:cs="Tahoma"/>
          <w:spacing w:val="-4"/>
          <w:sz w:val="20"/>
          <w:szCs w:val="20"/>
          <w:lang w:val="sl-SI"/>
        </w:rPr>
        <w:t xml:space="preserve">Celotna zgoraj navedena mehanizacija mora biti sposobna montaže novega voznega voda do 440 mm2 in sicer najmanj 1 km voznega voda v času krajšem od 180 minut. </w:t>
      </w:r>
    </w:p>
    <w:p w:rsidR="0095480B" w:rsidRPr="0095480B" w:rsidRDefault="0095480B" w:rsidP="0095480B">
      <w:pPr>
        <w:jc w:val="both"/>
        <w:rPr>
          <w:rFonts w:ascii="Tahoma" w:eastAsia="Times New Roman" w:hAnsi="Tahoma" w:cs="Tahoma"/>
          <w:spacing w:val="-4"/>
          <w:sz w:val="20"/>
          <w:szCs w:val="20"/>
          <w:lang w:val="sl-SI"/>
        </w:rPr>
      </w:pPr>
      <w:r w:rsidRPr="0095480B">
        <w:rPr>
          <w:rFonts w:ascii="Tahoma" w:eastAsia="Times New Roman" w:hAnsi="Tahoma" w:cs="Tahoma"/>
          <w:spacing w:val="-4"/>
          <w:sz w:val="20"/>
          <w:szCs w:val="20"/>
          <w:lang w:val="sl-SI"/>
        </w:rPr>
        <w:t>Izvajalec nosi vse stroške zavarovanja in varovanja mehanizacije ter nosi tveganje povezano z okvaro mehanizacije.</w:t>
      </w:r>
    </w:p>
    <w:p w:rsidR="0095480B" w:rsidRPr="0095480B" w:rsidRDefault="0095480B" w:rsidP="0095480B">
      <w:pPr>
        <w:jc w:val="both"/>
        <w:rPr>
          <w:rFonts w:ascii="Tahoma" w:eastAsia="Times New Roman" w:hAnsi="Tahoma" w:cs="Tahoma"/>
          <w:spacing w:val="-4"/>
          <w:sz w:val="20"/>
          <w:szCs w:val="20"/>
          <w:lang w:val="sl-SI"/>
        </w:rPr>
      </w:pPr>
      <w:r w:rsidRPr="0095480B">
        <w:rPr>
          <w:rFonts w:ascii="Tahoma" w:eastAsia="Times New Roman" w:hAnsi="Tahoma" w:cs="Tahoma"/>
          <w:spacing w:val="-4"/>
          <w:sz w:val="20"/>
          <w:szCs w:val="20"/>
          <w:lang w:val="sl-SI"/>
        </w:rPr>
        <w:t>Strošek transporta mehanizacije med samim izvajanjem del znotraj postaje ali odseka proge bremeni Izvajalca.</w:t>
      </w:r>
    </w:p>
    <w:p w:rsidR="0095480B" w:rsidRPr="0095480B" w:rsidRDefault="0095480B" w:rsidP="0095480B">
      <w:pPr>
        <w:jc w:val="both"/>
        <w:rPr>
          <w:rFonts w:ascii="Tahoma" w:eastAsia="Times New Roman" w:hAnsi="Tahoma" w:cs="Tahoma"/>
          <w:spacing w:val="-4"/>
          <w:sz w:val="20"/>
          <w:szCs w:val="20"/>
          <w:lang w:val="sl-SI"/>
        </w:rPr>
      </w:pPr>
      <w:r w:rsidRPr="0095480B">
        <w:rPr>
          <w:rFonts w:ascii="Tahoma" w:eastAsia="Times New Roman" w:hAnsi="Tahoma" w:cs="Tahoma"/>
          <w:spacing w:val="-4"/>
          <w:sz w:val="20"/>
          <w:szCs w:val="20"/>
          <w:lang w:val="sl-SI"/>
        </w:rPr>
        <w:t xml:space="preserve">Določena gradbena dela za izvedbo voznega omrežja (izvedba temeljev, postavitev drogov..) se lahko opravljajo tudi brez specializirane tirne mehanizacije, a z drugo ustrezno mehanizacijo in opremo za izvajanje gradbenih del. V kolikor je mogoče se ta dela izvajajo brez posebnih namenskih zapor za le ta dela. </w:t>
      </w:r>
    </w:p>
    <w:p w:rsidR="0095480B" w:rsidRPr="0095480B" w:rsidRDefault="0095480B" w:rsidP="0095480B">
      <w:pPr>
        <w:jc w:val="both"/>
        <w:rPr>
          <w:rFonts w:ascii="Tahoma" w:eastAsia="Times New Roman" w:hAnsi="Tahoma" w:cs="Tahoma"/>
          <w:spacing w:val="-4"/>
          <w:sz w:val="20"/>
          <w:szCs w:val="20"/>
          <w:lang w:val="sl-SI"/>
        </w:rPr>
      </w:pPr>
      <w:r w:rsidRPr="0095480B">
        <w:rPr>
          <w:rFonts w:ascii="Tahoma" w:eastAsia="Times New Roman" w:hAnsi="Tahoma" w:cs="Tahoma"/>
          <w:spacing w:val="-4"/>
          <w:sz w:val="20"/>
          <w:szCs w:val="20"/>
          <w:lang w:val="sl-SI"/>
        </w:rPr>
        <w:t xml:space="preserve">Za odvoz odvečnega material pri izvajanju gradbenih del, mora Izvajalec zagotoviti ustrezno </w:t>
      </w:r>
      <w:r w:rsidRPr="0095480B">
        <w:rPr>
          <w:rFonts w:ascii="Tahoma" w:eastAsia="Times New Roman" w:hAnsi="Tahoma" w:cs="Tahoma"/>
          <w:spacing w:val="-4"/>
          <w:sz w:val="20"/>
          <w:szCs w:val="20"/>
          <w:lang w:val="sl-SI"/>
        </w:rPr>
        <w:lastRenderedPageBreak/>
        <w:t>število vagonov ali cestnih transportnih sredstev.</w:t>
      </w:r>
    </w:p>
    <w:p w:rsidR="0095480B" w:rsidRPr="0095480B" w:rsidRDefault="0095480B" w:rsidP="0095480B">
      <w:pPr>
        <w:jc w:val="both"/>
        <w:rPr>
          <w:rFonts w:ascii="Tahoma" w:eastAsia="Times New Roman" w:hAnsi="Tahoma" w:cs="Tahoma"/>
          <w:spacing w:val="-4"/>
          <w:sz w:val="20"/>
          <w:szCs w:val="20"/>
          <w:lang w:val="sl-SI"/>
        </w:rPr>
      </w:pPr>
      <w:r w:rsidRPr="0095480B">
        <w:rPr>
          <w:rFonts w:ascii="Tahoma" w:eastAsia="Times New Roman" w:hAnsi="Tahoma" w:cs="Tahoma"/>
          <w:spacing w:val="-4"/>
          <w:sz w:val="20"/>
          <w:szCs w:val="20"/>
          <w:lang w:val="sl-SI"/>
        </w:rPr>
        <w:t>Izvajalec lahko skladišči svojo opremo, material in naprave v vagonih.</w:t>
      </w:r>
    </w:p>
    <w:p w:rsidR="0095480B" w:rsidRPr="0095480B" w:rsidRDefault="0095480B" w:rsidP="0095480B">
      <w:pPr>
        <w:jc w:val="both"/>
        <w:rPr>
          <w:rFonts w:ascii="Tahoma" w:eastAsia="Times New Roman" w:hAnsi="Tahoma" w:cs="Tahoma"/>
          <w:spacing w:val="-4"/>
          <w:sz w:val="20"/>
          <w:szCs w:val="20"/>
          <w:lang w:val="sl-SI"/>
        </w:rPr>
      </w:pPr>
      <w:r w:rsidRPr="0095480B">
        <w:rPr>
          <w:rFonts w:ascii="Tahoma" w:eastAsia="Times New Roman" w:hAnsi="Tahoma" w:cs="Tahoma"/>
          <w:spacing w:val="-4"/>
          <w:sz w:val="20"/>
          <w:szCs w:val="20"/>
          <w:lang w:val="sl-SI"/>
        </w:rPr>
        <w:t>Izvajalec nosi vse stroške transporta, zavarovanja in varovanja mehanizacije med in izven izvajanja del ter nosi vso finančno tveganje povezano z okvaro mehanizacije. Strošek podaljšanja zapor proge zaradi okvare tirne delovne mehanizacije bremeni v celoti Izvajalca.</w:t>
      </w:r>
    </w:p>
    <w:p w:rsidR="0095480B" w:rsidRPr="0095480B" w:rsidRDefault="0095480B" w:rsidP="0095480B">
      <w:pPr>
        <w:jc w:val="both"/>
        <w:rPr>
          <w:rFonts w:ascii="Tahoma" w:eastAsia="Times New Roman" w:hAnsi="Tahoma" w:cs="Tahoma"/>
          <w:spacing w:val="-4"/>
          <w:sz w:val="20"/>
          <w:szCs w:val="20"/>
          <w:lang w:val="sl-SI"/>
        </w:rPr>
      </w:pPr>
      <w:r w:rsidRPr="0095480B">
        <w:rPr>
          <w:rFonts w:ascii="Tahoma" w:eastAsia="Times New Roman" w:hAnsi="Tahoma" w:cs="Tahoma"/>
          <w:spacing w:val="-4"/>
          <w:sz w:val="20"/>
          <w:szCs w:val="20"/>
          <w:lang w:val="sl-SI"/>
        </w:rPr>
        <w:t>Skladno z Zakonom o varnosti v železniškem prometu (ZVZeIP) Ur.i. RS, št. 61/2007, Spremembe Ur.l. RS št. 21/2010 , 36/2010-UPB1, 60/2011, Zadnje uradno prečiščeno besedilo(UPB) Ur.l. št.36/2010-UPB1, mora ponudnik zagotoviti prevoz svoje mehanizacije na delovišče (zapora tira ali proge-Prometni pravilnik 162. člen) pri čemer mora še posebej upoštevati 17. ter 18. člen omenjenega zakona. Samostojno gibanje mehanizacije je dovoljeno le na območju mesta odobrene zapore proge ali tira.</w:t>
      </w:r>
    </w:p>
    <w:p w:rsidR="0095480B" w:rsidRPr="0095480B" w:rsidRDefault="0095480B" w:rsidP="0095480B">
      <w:pPr>
        <w:jc w:val="both"/>
        <w:rPr>
          <w:rFonts w:ascii="Tahoma" w:eastAsia="Times New Roman" w:hAnsi="Tahoma" w:cs="Tahoma"/>
          <w:spacing w:val="-4"/>
          <w:sz w:val="20"/>
          <w:szCs w:val="20"/>
          <w:lang w:val="sl-SI"/>
        </w:rPr>
      </w:pPr>
      <w:r w:rsidRPr="0095480B">
        <w:rPr>
          <w:rFonts w:ascii="Tahoma" w:eastAsia="Times New Roman" w:hAnsi="Tahoma" w:cs="Tahoma"/>
          <w:spacing w:val="-4"/>
          <w:sz w:val="20"/>
          <w:szCs w:val="20"/>
          <w:lang w:val="sl-SI"/>
        </w:rPr>
        <w:t>V kolikor Izvajalec prevoza mehanizacije do mesta zapore proge oziroma delovišča v skladu z zgoraj navedenimi zahtevami ne more zagotoviti sam, mora za to na lastne stroške predvideti prevoznika, ki ga bo pripeljal na mesto zapore oziroma delovišče in po končani zapori proge nazaj na mesto gariranja.</w:t>
      </w:r>
    </w:p>
    <w:p w:rsidR="0095480B" w:rsidRPr="0095480B" w:rsidRDefault="0095480B" w:rsidP="0095480B">
      <w:pPr>
        <w:jc w:val="both"/>
        <w:rPr>
          <w:rFonts w:ascii="Tahoma" w:eastAsia="Times New Roman" w:hAnsi="Tahoma" w:cs="Tahoma"/>
          <w:spacing w:val="-4"/>
          <w:sz w:val="20"/>
          <w:szCs w:val="20"/>
          <w:lang w:val="sl-SI"/>
        </w:rPr>
      </w:pPr>
      <w:r w:rsidRPr="0095480B">
        <w:rPr>
          <w:rFonts w:ascii="Tahoma" w:eastAsia="Times New Roman" w:hAnsi="Tahoma" w:cs="Tahoma"/>
          <w:spacing w:val="-4"/>
          <w:sz w:val="20"/>
          <w:szCs w:val="20"/>
          <w:lang w:val="sl-SI"/>
        </w:rPr>
        <w:t>Do pričetka del na terenu, pa mora ponudnik pridobiti za vozila, s katerimi bo izvajal vlakovne vožnje do gradbišč, vsa potrebna dovoljenja za vožnjo po javni železniški infrastrukturi v R Sloveniji.</w:t>
      </w:r>
    </w:p>
    <w:p w:rsidR="0095480B" w:rsidRPr="0095480B" w:rsidRDefault="0095480B" w:rsidP="0095480B">
      <w:pPr>
        <w:jc w:val="both"/>
        <w:rPr>
          <w:rFonts w:ascii="Tahoma" w:eastAsia="Times New Roman" w:hAnsi="Tahoma" w:cs="Tahoma"/>
          <w:spacing w:val="-4"/>
          <w:sz w:val="20"/>
          <w:szCs w:val="20"/>
          <w:lang w:val="sl-SI"/>
        </w:rPr>
      </w:pPr>
      <w:r w:rsidRPr="0095480B">
        <w:rPr>
          <w:rFonts w:ascii="Tahoma" w:eastAsia="Times New Roman" w:hAnsi="Tahoma" w:cs="Tahoma"/>
          <w:spacing w:val="-4"/>
          <w:sz w:val="20"/>
          <w:szCs w:val="20"/>
          <w:lang w:val="sl-SI"/>
        </w:rPr>
        <w:t>Za gariranje tirne mehanizacije bo Upravljavec zagotavljal  en prosti tir zadostne dolžine na postaji izvedbe del ozirma najbližji postaji. Izvajalec  mora zagotoviti odzivnost za primer potrebe po umikanju gariranih vozil  (Potreba po umiku gariranih vozil se določi min. 24 ur pred potrebnim umikom). Lokacije gariranja tirne delovne mehanizacije se bodo tekom izvedbe del spreminjale, v smislu čim krajšega dostopanja iz mesta gariranja( postaja) do mesta dela oziroma po končani zapori, povratka na mesto gariranja. Gariranje tirne delovne mehanizacije se izvaja v skladu z internimi pravili upravljalca.</w:t>
      </w:r>
    </w:p>
    <w:p w:rsidR="0095480B" w:rsidRPr="00F3579F" w:rsidRDefault="004C7560" w:rsidP="0095480B">
      <w:pPr>
        <w:jc w:val="both"/>
        <w:rPr>
          <w:rFonts w:ascii="Tahoma" w:eastAsia="Times New Roman" w:hAnsi="Tahoma" w:cs="Tahoma"/>
          <w:color w:val="FF0000"/>
          <w:spacing w:val="-4"/>
          <w:sz w:val="20"/>
          <w:szCs w:val="20"/>
          <w:lang w:val="sl-SI"/>
        </w:rPr>
      </w:pPr>
      <w:r>
        <w:rPr>
          <w:rFonts w:ascii="Tahoma" w:eastAsia="Times New Roman" w:hAnsi="Tahoma" w:cs="Tahoma"/>
          <w:color w:val="FF0000"/>
          <w:spacing w:val="-4"/>
          <w:sz w:val="20"/>
          <w:szCs w:val="20"/>
          <w:lang w:val="sl-SI"/>
        </w:rPr>
        <w:t>P</w:t>
      </w:r>
      <w:r w:rsidRPr="004C7560">
        <w:rPr>
          <w:rFonts w:ascii="Tahoma" w:eastAsia="Times New Roman" w:hAnsi="Tahoma" w:cs="Tahoma"/>
          <w:color w:val="FF0000"/>
          <w:spacing w:val="-4"/>
          <w:sz w:val="20"/>
          <w:szCs w:val="20"/>
          <w:lang w:val="sl-SI"/>
        </w:rPr>
        <w:t>onudniki kot dokazilo o zagotovljenih tehničnih zmogljivostih v ponudbi priložijo ESPD obrazec</w:t>
      </w:r>
      <w:r w:rsidR="00256489" w:rsidRPr="00F3579F">
        <w:rPr>
          <w:rFonts w:ascii="Tahoma" w:eastAsia="Times New Roman" w:hAnsi="Tahoma" w:cs="Tahoma"/>
          <w:color w:val="FF0000"/>
          <w:spacing w:val="-4"/>
          <w:sz w:val="20"/>
          <w:szCs w:val="20"/>
          <w:lang w:val="sl-SI"/>
        </w:rPr>
        <w:t xml:space="preserve">, </w:t>
      </w:r>
      <w:r>
        <w:rPr>
          <w:rFonts w:ascii="Tahoma" w:eastAsia="Times New Roman" w:hAnsi="Tahoma" w:cs="Tahoma"/>
          <w:color w:val="FF0000"/>
          <w:spacing w:val="-4"/>
          <w:sz w:val="20"/>
          <w:szCs w:val="20"/>
          <w:lang w:val="sl-SI"/>
        </w:rPr>
        <w:t>v TEE pa mora izbran izvajalec</w:t>
      </w:r>
      <w:r w:rsidR="00256489" w:rsidRPr="00F3579F">
        <w:rPr>
          <w:rFonts w:ascii="Tahoma" w:eastAsia="Times New Roman" w:hAnsi="Tahoma" w:cs="Tahoma"/>
          <w:color w:val="FF0000"/>
          <w:spacing w:val="-4"/>
          <w:sz w:val="20"/>
          <w:szCs w:val="20"/>
          <w:lang w:val="sl-SI"/>
        </w:rPr>
        <w:t xml:space="preserve"> priložiti dokazilo za vso zahtevano mehanizacijo</w:t>
      </w:r>
      <w:r>
        <w:rPr>
          <w:rFonts w:ascii="Tahoma" w:eastAsia="Times New Roman" w:hAnsi="Tahoma" w:cs="Tahoma"/>
          <w:color w:val="FF0000"/>
          <w:spacing w:val="-4"/>
          <w:sz w:val="20"/>
          <w:szCs w:val="20"/>
          <w:lang w:val="sl-SI"/>
        </w:rPr>
        <w:t xml:space="preserve"> in sicer</w:t>
      </w:r>
      <w:r w:rsidR="0095480B" w:rsidRPr="00F3579F">
        <w:rPr>
          <w:rFonts w:ascii="Tahoma" w:eastAsia="Times New Roman" w:hAnsi="Tahoma" w:cs="Tahoma"/>
          <w:color w:val="FF0000"/>
          <w:spacing w:val="-4"/>
          <w:sz w:val="20"/>
          <w:szCs w:val="20"/>
          <w:lang w:val="sl-SI"/>
        </w:rPr>
        <w:t xml:space="preserve">, da </w:t>
      </w:r>
      <w:r>
        <w:rPr>
          <w:rFonts w:ascii="Tahoma" w:eastAsia="Times New Roman" w:hAnsi="Tahoma" w:cs="Tahoma"/>
          <w:color w:val="FF0000"/>
          <w:spacing w:val="-4"/>
          <w:sz w:val="20"/>
          <w:szCs w:val="20"/>
          <w:lang w:val="sl-SI"/>
        </w:rPr>
        <w:t>je posamezno vozilo registrirano</w:t>
      </w:r>
      <w:r w:rsidR="0095480B" w:rsidRPr="00F3579F">
        <w:rPr>
          <w:rFonts w:ascii="Tahoma" w:eastAsia="Times New Roman" w:hAnsi="Tahoma" w:cs="Tahoma"/>
          <w:color w:val="FF0000"/>
          <w:spacing w:val="-4"/>
          <w:sz w:val="20"/>
          <w:szCs w:val="20"/>
          <w:lang w:val="sl-SI"/>
        </w:rPr>
        <w:t xml:space="preserve"> oziroma ima veljavno dovoljenje za vožnje po železniških progah države članice EU ali pridružene članice EU.</w:t>
      </w:r>
    </w:p>
    <w:p w:rsidR="00BB4B47" w:rsidRPr="00F3579F" w:rsidRDefault="00BB4B47" w:rsidP="00BB4B47">
      <w:pPr>
        <w:jc w:val="both"/>
        <w:rPr>
          <w:rFonts w:ascii="Tahoma" w:eastAsia="Times New Roman" w:hAnsi="Tahoma" w:cs="Tahoma"/>
          <w:color w:val="FF0000"/>
          <w:spacing w:val="-4"/>
          <w:sz w:val="20"/>
          <w:szCs w:val="20"/>
          <w:lang w:val="sl-SI"/>
        </w:rPr>
      </w:pPr>
      <w:r w:rsidRPr="00F3579F">
        <w:rPr>
          <w:rFonts w:ascii="Tahoma" w:eastAsia="Times New Roman" w:hAnsi="Tahoma" w:cs="Tahoma"/>
          <w:color w:val="FF0000"/>
          <w:spacing w:val="-4"/>
          <w:sz w:val="20"/>
          <w:szCs w:val="20"/>
          <w:lang w:val="sl-SI"/>
        </w:rPr>
        <w:lastRenderedPageBreak/>
        <w:t xml:space="preserve">V primeru, ko mehanizacija oziroma del mehanizacije, ni v lasti </w:t>
      </w:r>
      <w:r w:rsidR="004C7560">
        <w:rPr>
          <w:rFonts w:ascii="Tahoma" w:eastAsia="Times New Roman" w:hAnsi="Tahoma" w:cs="Tahoma"/>
          <w:color w:val="FF0000"/>
          <w:spacing w:val="-4"/>
          <w:sz w:val="20"/>
          <w:szCs w:val="20"/>
          <w:lang w:val="sl-SI"/>
        </w:rPr>
        <w:t xml:space="preserve">izbranega izvajalca </w:t>
      </w:r>
      <w:r w:rsidRPr="00F3579F">
        <w:rPr>
          <w:rFonts w:ascii="Tahoma" w:eastAsia="Times New Roman" w:hAnsi="Tahoma" w:cs="Tahoma"/>
          <w:color w:val="FF0000"/>
          <w:spacing w:val="-4"/>
          <w:sz w:val="20"/>
          <w:szCs w:val="20"/>
          <w:lang w:val="sl-SI"/>
        </w:rPr>
        <w:t xml:space="preserve"> je potrebno </w:t>
      </w:r>
      <w:r w:rsidR="00F3579F" w:rsidRPr="00F3579F">
        <w:rPr>
          <w:rFonts w:ascii="Tahoma" w:eastAsia="Times New Roman" w:hAnsi="Tahoma" w:cs="Tahoma"/>
          <w:color w:val="FF0000"/>
          <w:spacing w:val="-4"/>
          <w:sz w:val="20"/>
          <w:szCs w:val="20"/>
          <w:lang w:val="sl-SI"/>
        </w:rPr>
        <w:t xml:space="preserve">naročniku </w:t>
      </w:r>
      <w:r w:rsidR="004C7560">
        <w:rPr>
          <w:rFonts w:ascii="Tahoma" w:eastAsia="Times New Roman" w:hAnsi="Tahoma" w:cs="Tahoma"/>
          <w:color w:val="FF0000"/>
          <w:spacing w:val="-4"/>
          <w:sz w:val="20"/>
          <w:szCs w:val="20"/>
          <w:lang w:val="sl-SI"/>
        </w:rPr>
        <w:t>v TEE</w:t>
      </w:r>
      <w:r w:rsidRPr="00F3579F">
        <w:rPr>
          <w:rFonts w:ascii="Tahoma" w:eastAsia="Times New Roman" w:hAnsi="Tahoma" w:cs="Tahoma"/>
          <w:color w:val="FF0000"/>
          <w:spacing w:val="-4"/>
          <w:sz w:val="20"/>
          <w:szCs w:val="20"/>
          <w:lang w:val="sl-SI"/>
        </w:rPr>
        <w:t xml:space="preserve"> priložiti tudi </w:t>
      </w:r>
      <w:r w:rsidR="004C7560">
        <w:rPr>
          <w:rFonts w:ascii="Tahoma" w:eastAsia="Times New Roman" w:hAnsi="Tahoma" w:cs="Tahoma"/>
          <w:color w:val="FF0000"/>
          <w:spacing w:val="-4"/>
          <w:sz w:val="20"/>
          <w:szCs w:val="20"/>
          <w:lang w:val="sl-SI"/>
        </w:rPr>
        <w:t>dokazila o razpolaganju z</w:t>
      </w:r>
      <w:bookmarkStart w:id="1" w:name="_GoBack"/>
      <w:bookmarkEnd w:id="1"/>
      <w:r w:rsidRPr="00F3579F">
        <w:rPr>
          <w:rFonts w:ascii="Tahoma" w:eastAsia="Times New Roman" w:hAnsi="Tahoma" w:cs="Tahoma"/>
          <w:color w:val="FF0000"/>
          <w:spacing w:val="-4"/>
          <w:sz w:val="20"/>
          <w:szCs w:val="20"/>
          <w:lang w:val="sl-SI"/>
        </w:rPr>
        <w:t xml:space="preserve"> omenjeno mehanizacijo.</w:t>
      </w:r>
    </w:p>
    <w:p w:rsidR="0095480B" w:rsidRPr="0095480B" w:rsidRDefault="0095480B" w:rsidP="0095480B">
      <w:pPr>
        <w:jc w:val="both"/>
        <w:rPr>
          <w:rFonts w:ascii="Tahoma" w:eastAsia="Times New Roman" w:hAnsi="Tahoma" w:cs="Tahoma"/>
          <w:spacing w:val="-4"/>
          <w:sz w:val="20"/>
          <w:szCs w:val="20"/>
          <w:highlight w:val="lightGray"/>
          <w:lang w:val="sl-SI"/>
        </w:rPr>
      </w:pPr>
    </w:p>
    <w:p w:rsidR="0095480B" w:rsidRPr="0095480B" w:rsidRDefault="0095480B" w:rsidP="0095480B">
      <w:pPr>
        <w:rPr>
          <w:sz w:val="20"/>
          <w:szCs w:val="20"/>
          <w:lang w:val="sl-SI"/>
        </w:rPr>
      </w:pPr>
    </w:p>
    <w:p w:rsidR="00D7143E" w:rsidRPr="0095480B" w:rsidRDefault="00D7143E">
      <w:pPr>
        <w:rPr>
          <w:sz w:val="20"/>
          <w:szCs w:val="20"/>
          <w:lang w:val="sl-SI"/>
        </w:rPr>
      </w:pPr>
    </w:p>
    <w:sectPr w:rsidR="00D7143E" w:rsidRPr="0095480B" w:rsidSect="00945D33">
      <w:headerReference w:type="default" r:id="rId7"/>
      <w:footerReference w:type="default" r:id="rId8"/>
      <w:pgSz w:w="11907" w:h="16840" w:code="9"/>
      <w:pgMar w:top="1701" w:right="1418" w:bottom="1418" w:left="1418" w:header="680" w:footer="680" w:gutter="284"/>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7838" w:rsidRDefault="00B87838" w:rsidP="0095480B">
      <w:pPr>
        <w:spacing w:after="0" w:line="240" w:lineRule="auto"/>
      </w:pPr>
      <w:r>
        <w:separator/>
      </w:r>
    </w:p>
  </w:endnote>
  <w:endnote w:type="continuationSeparator" w:id="0">
    <w:p w:rsidR="00B87838" w:rsidRDefault="00B87838" w:rsidP="00954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8350479"/>
      <w:docPartObj>
        <w:docPartGallery w:val="Page Numbers (Bottom of Page)"/>
        <w:docPartUnique/>
      </w:docPartObj>
    </w:sdtPr>
    <w:sdtEndPr>
      <w:rPr>
        <w:sz w:val="18"/>
        <w:szCs w:val="18"/>
      </w:rPr>
    </w:sdtEndPr>
    <w:sdtContent>
      <w:p w:rsidR="00252549" w:rsidRPr="00480ACB" w:rsidRDefault="00B87838" w:rsidP="00432498">
        <w:pPr>
          <w:pStyle w:val="Noga"/>
          <w:pBdr>
            <w:top w:val="single" w:sz="4" w:space="1" w:color="auto"/>
          </w:pBdr>
          <w:tabs>
            <w:tab w:val="clear" w:pos="9072"/>
            <w:tab w:val="right" w:pos="8789"/>
          </w:tabs>
          <w:jc w:val="right"/>
          <w:rPr>
            <w:sz w:val="18"/>
            <w:szCs w:val="18"/>
          </w:rPr>
        </w:pPr>
        <w:r>
          <w:t>Posebni  tehnični pogoji</w:t>
        </w:r>
        <w:r w:rsidRPr="00480ACB">
          <w:rPr>
            <w:rFonts w:ascii="Tahoma" w:hAnsi="Tahoma" w:cs="Tahoma"/>
            <w:sz w:val="18"/>
            <w:szCs w:val="18"/>
          </w:rPr>
          <w:t xml:space="preserve"> </w:t>
        </w:r>
        <w:r>
          <w:rPr>
            <w:rFonts w:ascii="Tahoma" w:hAnsi="Tahoma" w:cs="Tahoma"/>
            <w:sz w:val="18"/>
            <w:szCs w:val="18"/>
          </w:rPr>
          <w:tab/>
        </w:r>
        <w:r>
          <w:rPr>
            <w:rFonts w:ascii="Tahoma" w:hAnsi="Tahoma" w:cs="Tahoma"/>
            <w:sz w:val="18"/>
            <w:szCs w:val="18"/>
          </w:rPr>
          <w:tab/>
        </w:r>
        <w:r w:rsidRPr="00480ACB">
          <w:rPr>
            <w:rFonts w:ascii="Tahoma" w:hAnsi="Tahoma" w:cs="Tahoma"/>
            <w:sz w:val="18"/>
            <w:szCs w:val="18"/>
          </w:rPr>
          <w:fldChar w:fldCharType="begin"/>
        </w:r>
        <w:r w:rsidRPr="00480ACB">
          <w:rPr>
            <w:rFonts w:ascii="Tahoma" w:hAnsi="Tahoma" w:cs="Tahoma"/>
            <w:sz w:val="18"/>
            <w:szCs w:val="18"/>
          </w:rPr>
          <w:instrText>PAGE   \* MERGEFORMAT</w:instrText>
        </w:r>
        <w:r w:rsidRPr="00480ACB">
          <w:rPr>
            <w:rFonts w:ascii="Tahoma" w:hAnsi="Tahoma" w:cs="Tahoma"/>
            <w:sz w:val="18"/>
            <w:szCs w:val="18"/>
          </w:rPr>
          <w:fldChar w:fldCharType="separate"/>
        </w:r>
        <w:r w:rsidR="004C7560" w:rsidRPr="004C7560">
          <w:rPr>
            <w:rFonts w:ascii="Tahoma" w:hAnsi="Tahoma" w:cs="Tahoma"/>
            <w:noProof/>
            <w:sz w:val="18"/>
            <w:szCs w:val="18"/>
            <w:lang w:val="sl-SI"/>
          </w:rPr>
          <w:t>2</w:t>
        </w:r>
        <w:r w:rsidRPr="00480ACB">
          <w:rPr>
            <w:rFonts w:ascii="Tahoma" w:hAnsi="Tahoma" w:cs="Tahoma"/>
            <w:sz w:val="18"/>
            <w:szCs w:val="18"/>
          </w:rPr>
          <w:fldChar w:fldCharType="end"/>
        </w:r>
        <w:r w:rsidRPr="00480ACB">
          <w:rPr>
            <w:rFonts w:ascii="Tahoma" w:hAnsi="Tahoma" w:cs="Tahoma"/>
            <w:sz w:val="18"/>
            <w:szCs w:val="18"/>
          </w:rPr>
          <w:t>/</w:t>
        </w:r>
        <w:r w:rsidRPr="00480ACB">
          <w:rPr>
            <w:rFonts w:ascii="Tahoma" w:hAnsi="Tahoma" w:cs="Tahoma"/>
            <w:sz w:val="18"/>
            <w:szCs w:val="18"/>
          </w:rPr>
          <w:fldChar w:fldCharType="begin"/>
        </w:r>
        <w:r w:rsidRPr="00480ACB">
          <w:rPr>
            <w:rFonts w:ascii="Tahoma" w:hAnsi="Tahoma" w:cs="Tahoma"/>
            <w:sz w:val="18"/>
            <w:szCs w:val="18"/>
          </w:rPr>
          <w:instrText xml:space="preserve"> NUMPAGES   \* MERGEFORMAT </w:instrText>
        </w:r>
        <w:r w:rsidRPr="00480ACB">
          <w:rPr>
            <w:rFonts w:ascii="Tahoma" w:hAnsi="Tahoma" w:cs="Tahoma"/>
            <w:sz w:val="18"/>
            <w:szCs w:val="18"/>
          </w:rPr>
          <w:fldChar w:fldCharType="separate"/>
        </w:r>
        <w:r w:rsidR="004C7560">
          <w:rPr>
            <w:rFonts w:ascii="Tahoma" w:hAnsi="Tahoma" w:cs="Tahoma"/>
            <w:noProof/>
            <w:sz w:val="18"/>
            <w:szCs w:val="18"/>
          </w:rPr>
          <w:t>2</w:t>
        </w:r>
        <w:r w:rsidRPr="00480ACB">
          <w:rPr>
            <w:rFonts w:ascii="Tahoma" w:hAnsi="Tahoma" w:cs="Tahoma"/>
            <w:sz w:val="18"/>
            <w:szCs w:val="18"/>
          </w:rPr>
          <w:fldChar w:fldCharType="end"/>
        </w:r>
      </w:p>
    </w:sdtContent>
  </w:sdt>
  <w:p w:rsidR="00252549" w:rsidRPr="004C4BDE" w:rsidRDefault="004C7560" w:rsidP="00D931E0">
    <w:pPr>
      <w:pStyle w:val="Noga"/>
      <w:tabs>
        <w:tab w:val="clear" w:pos="4536"/>
        <w:tab w:val="clear" w:pos="9072"/>
        <w:tab w:val="right" w:pos="8787"/>
      </w:tabs>
      <w:rPr>
        <w:rFonts w:ascii="Tahoma" w:hAnsi="Tahoma" w:cs="Tahoma"/>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7838" w:rsidRDefault="00B87838" w:rsidP="0095480B">
      <w:pPr>
        <w:spacing w:after="0" w:line="240" w:lineRule="auto"/>
      </w:pPr>
      <w:r>
        <w:separator/>
      </w:r>
    </w:p>
  </w:footnote>
  <w:footnote w:type="continuationSeparator" w:id="0">
    <w:p w:rsidR="00B87838" w:rsidRDefault="00B87838" w:rsidP="009548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80B" w:rsidRPr="00480ACB" w:rsidRDefault="0095480B" w:rsidP="0095480B">
    <w:pPr>
      <w:pBdr>
        <w:bottom w:val="single" w:sz="4" w:space="1" w:color="auto"/>
      </w:pBdr>
      <w:tabs>
        <w:tab w:val="right" w:pos="8786"/>
      </w:tabs>
      <w:spacing w:after="40" w:line="200" w:lineRule="exact"/>
      <w:rPr>
        <w:rFonts w:ascii="Tahoma" w:hAnsi="Tahoma" w:cs="Tahoma"/>
        <w:sz w:val="18"/>
        <w:szCs w:val="18"/>
        <w:lang w:val="sl-SI"/>
      </w:rPr>
    </w:pPr>
    <w:r w:rsidRPr="005F2662">
      <w:rPr>
        <w:rFonts w:ascii="Tahoma" w:hAnsi="Tahoma" w:cs="Tahoma"/>
        <w:sz w:val="18"/>
        <w:szCs w:val="18"/>
        <w:lang w:val="sl-SI"/>
      </w:rPr>
      <w:t>Nadgradnja železniških odsekov Rimske Toplice - Laško in Laško – Celje</w:t>
    </w:r>
    <w:r w:rsidRPr="005F2662" w:rsidDel="005F2662">
      <w:rPr>
        <w:rFonts w:ascii="Tahoma" w:hAnsi="Tahoma" w:cs="Tahoma"/>
        <w:sz w:val="18"/>
        <w:szCs w:val="18"/>
        <w:lang w:val="sl-SI"/>
      </w:rPr>
      <w:t xml:space="preserve"> </w:t>
    </w:r>
  </w:p>
  <w:p w:rsidR="0095480B" w:rsidRDefault="0095480B">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41E82"/>
    <w:multiLevelType w:val="multilevel"/>
    <w:tmpl w:val="62CA3972"/>
    <w:lvl w:ilvl="0">
      <w:start w:val="1"/>
      <w:numFmt w:val="ordinal"/>
      <w:lvlText w:val="%1"/>
      <w:lvlJc w:val="left"/>
      <w:pPr>
        <w:tabs>
          <w:tab w:val="num" w:pos="432"/>
        </w:tabs>
        <w:ind w:left="432" w:hanging="432"/>
      </w:pPr>
      <w:rPr>
        <w:rFonts w:hint="default"/>
      </w:rPr>
    </w:lvl>
    <w:lvl w:ilvl="1">
      <w:start w:val="1"/>
      <w:numFmt w:val="ordinal"/>
      <w:pStyle w:val="Naslov2"/>
      <w:lvlText w:val="%1%2"/>
      <w:lvlJc w:val="left"/>
      <w:pPr>
        <w:tabs>
          <w:tab w:val="num" w:pos="576"/>
        </w:tabs>
        <w:ind w:left="1134" w:hanging="1134"/>
      </w:pPr>
      <w:rPr>
        <w:rFonts w:ascii="Tahoma" w:hAnsi="Tahoma" w:cs="Tahoma" w:hint="default"/>
        <w:b/>
        <w:sz w:val="28"/>
        <w:szCs w:val="28"/>
      </w:rPr>
    </w:lvl>
    <w:lvl w:ilvl="2">
      <w:start w:val="1"/>
      <w:numFmt w:val="ordinal"/>
      <w:pStyle w:val="Naslov3"/>
      <w:lvlText w:val="%1%2%3"/>
      <w:lvlJc w:val="left"/>
      <w:pPr>
        <w:tabs>
          <w:tab w:val="num" w:pos="720"/>
        </w:tabs>
        <w:ind w:left="1134" w:hanging="1134"/>
      </w:pPr>
      <w:rPr>
        <w:rFonts w:ascii="Tahoma" w:hAnsi="Tahoma" w:hint="default"/>
        <w:b/>
        <w:i w:val="0"/>
        <w:sz w:val="24"/>
      </w:rPr>
    </w:lvl>
    <w:lvl w:ilvl="3">
      <w:start w:val="1"/>
      <w:numFmt w:val="ordinal"/>
      <w:pStyle w:val="Naslov4"/>
      <w:lvlText w:val="%1%2%3%4"/>
      <w:lvlJc w:val="left"/>
      <w:pPr>
        <w:tabs>
          <w:tab w:val="num" w:pos="864"/>
        </w:tabs>
        <w:ind w:left="1134" w:hanging="1134"/>
      </w:pPr>
      <w:rPr>
        <w:rFonts w:ascii="Tahoma" w:hAnsi="Tahoma" w:hint="default"/>
        <w:b/>
        <w:i w:val="0"/>
        <w:sz w:val="22"/>
      </w:rPr>
    </w:lvl>
    <w:lvl w:ilvl="4">
      <w:start w:val="1"/>
      <w:numFmt w:val="ordinal"/>
      <w:pStyle w:val="Naslov5"/>
      <w:lvlText w:val="%1%2%3%4%5"/>
      <w:lvlJc w:val="left"/>
      <w:pPr>
        <w:tabs>
          <w:tab w:val="num" w:pos="1292"/>
        </w:tabs>
        <w:ind w:left="1418" w:hanging="1134"/>
      </w:pPr>
      <w:rPr>
        <w:rFonts w:ascii="Tahoma" w:hAnsi="Tahoma" w:hint="default"/>
        <w:b/>
        <w:i w:val="0"/>
        <w:sz w:val="20"/>
      </w:rPr>
    </w:lvl>
    <w:lvl w:ilvl="5">
      <w:start w:val="1"/>
      <w:numFmt w:val="ordinal"/>
      <w:pStyle w:val="Naslov6"/>
      <w:lvlText w:val="%1%2%3%4%5%6"/>
      <w:lvlJc w:val="left"/>
      <w:pPr>
        <w:tabs>
          <w:tab w:val="num" w:pos="1152"/>
        </w:tabs>
        <w:ind w:left="1418" w:hanging="1418"/>
      </w:pPr>
      <w:rPr>
        <w:rFonts w:ascii="Tahoma" w:hAnsi="Tahoma"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ordinal"/>
      <w:pStyle w:val="Naslov7"/>
      <w:lvlText w:val="%1%2%3%4%5%6%7"/>
      <w:lvlJc w:val="left"/>
      <w:pPr>
        <w:tabs>
          <w:tab w:val="num" w:pos="1296"/>
        </w:tabs>
        <w:ind w:left="1418" w:hanging="1418"/>
      </w:pPr>
      <w:rPr>
        <w:rFonts w:ascii="Tahoma" w:hAnsi="Tahoma" w:cs="Tahoma" w:hint="default"/>
      </w:rPr>
    </w:lvl>
    <w:lvl w:ilvl="7">
      <w:start w:val="1"/>
      <w:numFmt w:val="ordinal"/>
      <w:pStyle w:val="Naslov8"/>
      <w:lvlText w:val="%1%2%3%4%5%6%7%8"/>
      <w:lvlJc w:val="left"/>
      <w:pPr>
        <w:ind w:left="1418" w:hanging="1418"/>
      </w:pPr>
      <w:rPr>
        <w:rFonts w:ascii="Tahoma" w:hAnsi="Tahoma" w:hint="default"/>
        <w:i w:val="0"/>
        <w:sz w:val="20"/>
      </w:rPr>
    </w:lvl>
    <w:lvl w:ilvl="8">
      <w:start w:val="1"/>
      <w:numFmt w:val="decimal"/>
      <w:pStyle w:val="Naslov9"/>
      <w:lvlText w:val="%1.%2.%3.%4.%5.%6.%7.%8.%9"/>
      <w:lvlJc w:val="left"/>
      <w:pPr>
        <w:tabs>
          <w:tab w:val="num" w:pos="1584"/>
        </w:tabs>
        <w:ind w:left="1584" w:hanging="1584"/>
      </w:pPr>
      <w:rPr>
        <w:rFonts w:hint="default"/>
      </w:rPr>
    </w:lvl>
  </w:abstractNum>
  <w:abstractNum w:abstractNumId="1" w15:restartNumberingAfterBreak="0">
    <w:nsid w:val="1E542323"/>
    <w:multiLevelType w:val="multilevel"/>
    <w:tmpl w:val="649C50DC"/>
    <w:lvl w:ilvl="0">
      <w:start w:val="2"/>
      <w:numFmt w:val="decimal"/>
      <w:lvlText w:val="%1"/>
      <w:lvlJc w:val="left"/>
      <w:pPr>
        <w:ind w:left="600" w:hanging="600"/>
      </w:pPr>
      <w:rPr>
        <w:rFonts w:hint="default"/>
      </w:rPr>
    </w:lvl>
    <w:lvl w:ilvl="1">
      <w:start w:val="8"/>
      <w:numFmt w:val="decimal"/>
      <w:lvlText w:val="%1.%2"/>
      <w:lvlJc w:val="left"/>
      <w:pPr>
        <w:ind w:left="720" w:hanging="72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4C214993"/>
    <w:multiLevelType w:val="hybridMultilevel"/>
    <w:tmpl w:val="029C7FF4"/>
    <w:lvl w:ilvl="0" w:tplc="5546B8DC">
      <w:numFmt w:val="bullet"/>
      <w:lvlText w:val="-"/>
      <w:lvlJc w:val="left"/>
      <w:pPr>
        <w:tabs>
          <w:tab w:val="num" w:pos="360"/>
        </w:tabs>
        <w:ind w:left="360" w:hanging="360"/>
      </w:pPr>
      <w:rPr>
        <w:rFonts w:ascii="Arial" w:eastAsia="Times New Roman" w:hAnsi="Arial" w:hint="default"/>
      </w:rPr>
    </w:lvl>
    <w:lvl w:ilvl="1" w:tplc="6EC29590" w:tentative="1">
      <w:start w:val="1"/>
      <w:numFmt w:val="bullet"/>
      <w:lvlText w:val="o"/>
      <w:lvlJc w:val="left"/>
      <w:pPr>
        <w:tabs>
          <w:tab w:val="num" w:pos="900"/>
        </w:tabs>
        <w:ind w:left="900" w:hanging="360"/>
      </w:pPr>
      <w:rPr>
        <w:rFonts w:ascii="Courier New" w:hAnsi="Courier New" w:hint="default"/>
      </w:rPr>
    </w:lvl>
    <w:lvl w:ilvl="2" w:tplc="6202837A" w:tentative="1">
      <w:start w:val="1"/>
      <w:numFmt w:val="bullet"/>
      <w:lvlText w:val=""/>
      <w:lvlJc w:val="left"/>
      <w:pPr>
        <w:tabs>
          <w:tab w:val="num" w:pos="1620"/>
        </w:tabs>
        <w:ind w:left="1620" w:hanging="360"/>
      </w:pPr>
      <w:rPr>
        <w:rFonts w:ascii="Wingdings" w:hAnsi="Wingdings" w:hint="default"/>
      </w:rPr>
    </w:lvl>
    <w:lvl w:ilvl="3" w:tplc="84423F56" w:tentative="1">
      <w:start w:val="1"/>
      <w:numFmt w:val="bullet"/>
      <w:lvlText w:val=""/>
      <w:lvlJc w:val="left"/>
      <w:pPr>
        <w:tabs>
          <w:tab w:val="num" w:pos="2340"/>
        </w:tabs>
        <w:ind w:left="2340" w:hanging="360"/>
      </w:pPr>
      <w:rPr>
        <w:rFonts w:ascii="Symbol" w:hAnsi="Symbol" w:hint="default"/>
      </w:rPr>
    </w:lvl>
    <w:lvl w:ilvl="4" w:tplc="14101D94" w:tentative="1">
      <w:start w:val="1"/>
      <w:numFmt w:val="bullet"/>
      <w:lvlText w:val="o"/>
      <w:lvlJc w:val="left"/>
      <w:pPr>
        <w:tabs>
          <w:tab w:val="num" w:pos="3060"/>
        </w:tabs>
        <w:ind w:left="3060" w:hanging="360"/>
      </w:pPr>
      <w:rPr>
        <w:rFonts w:ascii="Courier New" w:hAnsi="Courier New" w:hint="default"/>
      </w:rPr>
    </w:lvl>
    <w:lvl w:ilvl="5" w:tplc="0804E546" w:tentative="1">
      <w:start w:val="1"/>
      <w:numFmt w:val="bullet"/>
      <w:lvlText w:val=""/>
      <w:lvlJc w:val="left"/>
      <w:pPr>
        <w:tabs>
          <w:tab w:val="num" w:pos="3780"/>
        </w:tabs>
        <w:ind w:left="3780" w:hanging="360"/>
      </w:pPr>
      <w:rPr>
        <w:rFonts w:ascii="Wingdings" w:hAnsi="Wingdings" w:hint="default"/>
      </w:rPr>
    </w:lvl>
    <w:lvl w:ilvl="6" w:tplc="5546B8DC" w:tentative="1">
      <w:start w:val="1"/>
      <w:numFmt w:val="bullet"/>
      <w:lvlText w:val=""/>
      <w:lvlJc w:val="left"/>
      <w:pPr>
        <w:tabs>
          <w:tab w:val="num" w:pos="4500"/>
        </w:tabs>
        <w:ind w:left="4500" w:hanging="360"/>
      </w:pPr>
      <w:rPr>
        <w:rFonts w:ascii="Symbol" w:hAnsi="Symbol" w:hint="default"/>
      </w:rPr>
    </w:lvl>
    <w:lvl w:ilvl="7" w:tplc="5C28D956" w:tentative="1">
      <w:start w:val="1"/>
      <w:numFmt w:val="bullet"/>
      <w:lvlText w:val="o"/>
      <w:lvlJc w:val="left"/>
      <w:pPr>
        <w:tabs>
          <w:tab w:val="num" w:pos="5220"/>
        </w:tabs>
        <w:ind w:left="5220" w:hanging="360"/>
      </w:pPr>
      <w:rPr>
        <w:rFonts w:ascii="Courier New" w:hAnsi="Courier New" w:hint="default"/>
      </w:rPr>
    </w:lvl>
    <w:lvl w:ilvl="8" w:tplc="79B0E76A" w:tentative="1">
      <w:start w:val="1"/>
      <w:numFmt w:val="bullet"/>
      <w:lvlText w:val=""/>
      <w:lvlJc w:val="left"/>
      <w:pPr>
        <w:tabs>
          <w:tab w:val="num" w:pos="5940"/>
        </w:tabs>
        <w:ind w:left="59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80B"/>
    <w:rsid w:val="00256489"/>
    <w:rsid w:val="004C7560"/>
    <w:rsid w:val="0095480B"/>
    <w:rsid w:val="00B87838"/>
    <w:rsid w:val="00BB4B47"/>
    <w:rsid w:val="00D7143E"/>
    <w:rsid w:val="00F3579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8D67F9-7E92-47EC-90EE-3DF514B01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95480B"/>
    <w:pPr>
      <w:widowControl w:val="0"/>
    </w:pPr>
    <w:rPr>
      <w:lang w:val="en-US"/>
    </w:rPr>
  </w:style>
  <w:style w:type="paragraph" w:styleId="Naslov2">
    <w:name w:val="heading 2"/>
    <w:aliases w:val="Heading 2a,APEK-2,h2,2,Header 2,l2,Header2,título 2,I2,2nd level,l2+toc 2,12,Heading 3 2,1,Title2,orderpara1,title 2,h21,21,Header 21,l21,h22,22,Header 22,l22,h23,23,Header 23,l23,h24,24,Header 24,l24,h25,25,Header 25,l25,H2,Heading Two,1h"/>
    <w:basedOn w:val="Navaden"/>
    <w:next w:val="Navaden"/>
    <w:link w:val="Naslov2Znak"/>
    <w:qFormat/>
    <w:rsid w:val="0095480B"/>
    <w:pPr>
      <w:keepNext/>
      <w:widowControl/>
      <w:numPr>
        <w:ilvl w:val="1"/>
        <w:numId w:val="1"/>
      </w:numPr>
      <w:spacing w:before="240" w:after="120" w:line="240" w:lineRule="auto"/>
      <w:outlineLvl w:val="1"/>
    </w:pPr>
    <w:rPr>
      <w:rFonts w:ascii="Arial" w:eastAsia="Times New Roman" w:hAnsi="Arial" w:cs="Arial"/>
      <w:b/>
      <w:bCs/>
      <w:iCs/>
      <w:sz w:val="24"/>
      <w:szCs w:val="28"/>
      <w:lang w:val="sl-SI" w:eastAsia="sl-SI"/>
    </w:rPr>
  </w:style>
  <w:style w:type="paragraph" w:styleId="Naslov3">
    <w:name w:val="heading 3"/>
    <w:aliases w:val="Heading 3a,Heading 3A,h3,H3,2h,§,OdsKap3,OdsKap3Überschrift,l3,CT,ITT t3,PA Minor Section,TE Heading,Heading3,H3-Heading 3,3,l3.3,list 3,list3,subhead,1.,Heading No. L3,l31,CT1,H31,l32,nms SubSect1,h31,h32,h311,h33,h34,h35,h321,h331,h341,h36"/>
    <w:basedOn w:val="Navaden"/>
    <w:next w:val="Navaden"/>
    <w:link w:val="Naslov3Znak"/>
    <w:qFormat/>
    <w:rsid w:val="0095480B"/>
    <w:pPr>
      <w:keepNext/>
      <w:widowControl/>
      <w:numPr>
        <w:ilvl w:val="2"/>
        <w:numId w:val="1"/>
      </w:numPr>
      <w:spacing w:before="240" w:after="60" w:line="240" w:lineRule="auto"/>
      <w:outlineLvl w:val="2"/>
    </w:pPr>
    <w:rPr>
      <w:rFonts w:ascii="Arial" w:eastAsia="Times New Roman" w:hAnsi="Arial" w:cs="Arial"/>
      <w:b/>
      <w:bCs/>
      <w:i/>
      <w:szCs w:val="26"/>
      <w:lang w:val="sl-SI" w:eastAsia="sl-SI"/>
    </w:rPr>
  </w:style>
  <w:style w:type="paragraph" w:styleId="Naslov4">
    <w:name w:val="heading 4"/>
    <w:aliases w:val="Heading 4a,H4,H41,H42,H43,h4,ITT t4,PA Micro Section,TE Heading 4,4,H4-Heading 4,a.,Heading4,4heading,l4,h41,41,H4-Heading 41,a.1,Heading41,heading 41,l41,4heading1,h42,42,H4-Heading 42,a.2,Heading42,heading 42,l42,4heading2,h411,H411,411,a.11"/>
    <w:basedOn w:val="Navaden"/>
    <w:next w:val="Navaden"/>
    <w:link w:val="Naslov4Znak"/>
    <w:qFormat/>
    <w:rsid w:val="0095480B"/>
    <w:pPr>
      <w:keepNext/>
      <w:widowControl/>
      <w:numPr>
        <w:ilvl w:val="3"/>
        <w:numId w:val="1"/>
      </w:numPr>
      <w:spacing w:before="240" w:after="60" w:line="240" w:lineRule="auto"/>
      <w:outlineLvl w:val="3"/>
    </w:pPr>
    <w:rPr>
      <w:rFonts w:ascii="Arial" w:eastAsia="Times New Roman" w:hAnsi="Arial" w:cs="Times New Roman"/>
      <w:b/>
      <w:bCs/>
      <w:sz w:val="20"/>
      <w:szCs w:val="28"/>
      <w:lang w:val="sl-SI" w:eastAsia="sl-SI"/>
    </w:rPr>
  </w:style>
  <w:style w:type="paragraph" w:styleId="Naslov5">
    <w:name w:val="heading 5"/>
    <w:aliases w:val="Heading 5a"/>
    <w:basedOn w:val="Navaden"/>
    <w:next w:val="Navaden"/>
    <w:link w:val="Naslov5Znak"/>
    <w:qFormat/>
    <w:rsid w:val="0095480B"/>
    <w:pPr>
      <w:widowControl/>
      <w:numPr>
        <w:ilvl w:val="4"/>
        <w:numId w:val="1"/>
      </w:numPr>
      <w:spacing w:before="240" w:after="60" w:line="240" w:lineRule="auto"/>
      <w:outlineLvl w:val="4"/>
    </w:pPr>
    <w:rPr>
      <w:rFonts w:ascii="Arial" w:eastAsia="Times New Roman" w:hAnsi="Arial" w:cs="Times New Roman"/>
      <w:bCs/>
      <w:i/>
      <w:iCs/>
      <w:sz w:val="20"/>
      <w:szCs w:val="26"/>
      <w:lang w:val="sl-SI" w:eastAsia="sl-SI"/>
    </w:rPr>
  </w:style>
  <w:style w:type="paragraph" w:styleId="Naslov6">
    <w:name w:val="heading 6"/>
    <w:aliases w:val="Heading 6a"/>
    <w:basedOn w:val="Navaden"/>
    <w:next w:val="Navaden"/>
    <w:link w:val="Naslov6Znak"/>
    <w:qFormat/>
    <w:rsid w:val="0095480B"/>
    <w:pPr>
      <w:widowControl/>
      <w:numPr>
        <w:ilvl w:val="5"/>
        <w:numId w:val="1"/>
      </w:numPr>
      <w:spacing w:before="240" w:after="60" w:line="240" w:lineRule="auto"/>
      <w:outlineLvl w:val="5"/>
    </w:pPr>
    <w:rPr>
      <w:rFonts w:ascii="Arial" w:eastAsia="Times New Roman" w:hAnsi="Arial" w:cs="Times New Roman"/>
      <w:bCs/>
      <w:i/>
      <w:sz w:val="20"/>
      <w:lang w:val="sl-SI" w:eastAsia="sl-SI"/>
    </w:rPr>
  </w:style>
  <w:style w:type="paragraph" w:styleId="Naslov7">
    <w:name w:val="heading 7"/>
    <w:aliases w:val="Heading 7a"/>
    <w:basedOn w:val="Navaden"/>
    <w:next w:val="Navaden"/>
    <w:link w:val="Naslov7Znak"/>
    <w:qFormat/>
    <w:rsid w:val="0095480B"/>
    <w:pPr>
      <w:widowControl/>
      <w:numPr>
        <w:ilvl w:val="6"/>
        <w:numId w:val="1"/>
      </w:numPr>
      <w:spacing w:before="240" w:after="60" w:line="240" w:lineRule="auto"/>
      <w:outlineLvl w:val="6"/>
    </w:pPr>
    <w:rPr>
      <w:rFonts w:ascii="Arial" w:eastAsia="Times New Roman" w:hAnsi="Arial" w:cs="Times New Roman"/>
      <w:sz w:val="20"/>
      <w:szCs w:val="24"/>
      <w:lang w:val="sl-SI" w:eastAsia="sl-SI"/>
    </w:rPr>
  </w:style>
  <w:style w:type="paragraph" w:styleId="Naslov8">
    <w:name w:val="heading 8"/>
    <w:aliases w:val="Heading 8a"/>
    <w:basedOn w:val="Navaden"/>
    <w:next w:val="Navaden"/>
    <w:link w:val="Naslov8Znak"/>
    <w:qFormat/>
    <w:rsid w:val="0095480B"/>
    <w:pPr>
      <w:widowControl/>
      <w:numPr>
        <w:ilvl w:val="7"/>
        <w:numId w:val="1"/>
      </w:numPr>
      <w:spacing w:before="240" w:after="60" w:line="240" w:lineRule="auto"/>
      <w:outlineLvl w:val="7"/>
    </w:pPr>
    <w:rPr>
      <w:rFonts w:ascii="Times New Roman" w:eastAsia="Times New Roman" w:hAnsi="Times New Roman" w:cs="Times New Roman"/>
      <w:i/>
      <w:iCs/>
      <w:sz w:val="24"/>
      <w:szCs w:val="24"/>
      <w:lang w:val="sl-SI" w:eastAsia="sl-SI"/>
    </w:rPr>
  </w:style>
  <w:style w:type="paragraph" w:styleId="Naslov9">
    <w:name w:val="heading 9"/>
    <w:aliases w:val="Heading 9a"/>
    <w:basedOn w:val="Navaden"/>
    <w:next w:val="Navaden"/>
    <w:link w:val="Naslov9Znak"/>
    <w:qFormat/>
    <w:rsid w:val="0095480B"/>
    <w:pPr>
      <w:widowControl/>
      <w:numPr>
        <w:ilvl w:val="8"/>
        <w:numId w:val="1"/>
      </w:numPr>
      <w:spacing w:before="240" w:after="60" w:line="240" w:lineRule="auto"/>
      <w:outlineLvl w:val="8"/>
    </w:pPr>
    <w:rPr>
      <w:rFonts w:ascii="Arial" w:eastAsia="Times New Roman" w:hAnsi="Arial" w:cs="Arial"/>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aliases w:val="Heading 2a Znak,APEK-2 Znak,h2 Znak,2 Znak,Header 2 Znak,l2 Znak,Header2 Znak,título 2 Znak,I2 Znak,2nd level Znak,l2+toc 2 Znak,12 Znak,Heading 3 2 Znak,1 Znak,Title2 Znak,orderpara1 Znak,title 2 Znak,h21 Znak,21 Znak,Header 21 Znak"/>
    <w:basedOn w:val="Privzetapisavaodstavka"/>
    <w:link w:val="Naslov2"/>
    <w:rsid w:val="0095480B"/>
    <w:rPr>
      <w:rFonts w:ascii="Arial" w:eastAsia="Times New Roman" w:hAnsi="Arial" w:cs="Arial"/>
      <w:b/>
      <w:bCs/>
      <w:iCs/>
      <w:sz w:val="24"/>
      <w:szCs w:val="28"/>
      <w:lang w:eastAsia="sl-SI"/>
    </w:rPr>
  </w:style>
  <w:style w:type="character" w:customStyle="1" w:styleId="Naslov3Znak">
    <w:name w:val="Naslov 3 Znak"/>
    <w:aliases w:val="Heading 3a Znak,Heading 3A Znak,h3 Znak,H3 Znak,2h Znak,§ Znak,OdsKap3 Znak,OdsKap3Überschrift Znak,l3 Znak,CT Znak,ITT t3 Znak,PA Minor Section Znak,TE Heading Znak,Heading3 Znak,H3-Heading 3 Znak,3 Znak,l3.3 Znak,list 3 Znak,list3 Znak"/>
    <w:basedOn w:val="Privzetapisavaodstavka"/>
    <w:link w:val="Naslov3"/>
    <w:rsid w:val="0095480B"/>
    <w:rPr>
      <w:rFonts w:ascii="Arial" w:eastAsia="Times New Roman" w:hAnsi="Arial" w:cs="Arial"/>
      <w:b/>
      <w:bCs/>
      <w:i/>
      <w:szCs w:val="26"/>
      <w:lang w:eastAsia="sl-SI"/>
    </w:rPr>
  </w:style>
  <w:style w:type="character" w:customStyle="1" w:styleId="Naslov4Znak">
    <w:name w:val="Naslov 4 Znak"/>
    <w:aliases w:val="Heading 4a Znak,H4 Znak,H41 Znak,H42 Znak,H43 Znak,h4 Znak,ITT t4 Znak,PA Micro Section Znak,TE Heading 4 Znak,4 Znak,H4-Heading 4 Znak,a. Znak,Heading4 Znak,4heading Znak,l4 Znak,h41 Znak,41 Znak,H4-Heading 41 Znak,a.1 Znak,Heading41 Znak"/>
    <w:basedOn w:val="Privzetapisavaodstavka"/>
    <w:link w:val="Naslov4"/>
    <w:rsid w:val="0095480B"/>
    <w:rPr>
      <w:rFonts w:ascii="Arial" w:eastAsia="Times New Roman" w:hAnsi="Arial" w:cs="Times New Roman"/>
      <w:b/>
      <w:bCs/>
      <w:sz w:val="20"/>
      <w:szCs w:val="28"/>
      <w:lang w:eastAsia="sl-SI"/>
    </w:rPr>
  </w:style>
  <w:style w:type="character" w:customStyle="1" w:styleId="Naslov5Znak">
    <w:name w:val="Naslov 5 Znak"/>
    <w:aliases w:val="Heading 5a Znak"/>
    <w:basedOn w:val="Privzetapisavaodstavka"/>
    <w:link w:val="Naslov5"/>
    <w:rsid w:val="0095480B"/>
    <w:rPr>
      <w:rFonts w:ascii="Arial" w:eastAsia="Times New Roman" w:hAnsi="Arial" w:cs="Times New Roman"/>
      <w:bCs/>
      <w:i/>
      <w:iCs/>
      <w:sz w:val="20"/>
      <w:szCs w:val="26"/>
      <w:lang w:eastAsia="sl-SI"/>
    </w:rPr>
  </w:style>
  <w:style w:type="character" w:customStyle="1" w:styleId="Naslov6Znak">
    <w:name w:val="Naslov 6 Znak"/>
    <w:aliases w:val="Heading 6a Znak"/>
    <w:basedOn w:val="Privzetapisavaodstavka"/>
    <w:link w:val="Naslov6"/>
    <w:rsid w:val="0095480B"/>
    <w:rPr>
      <w:rFonts w:ascii="Arial" w:eastAsia="Times New Roman" w:hAnsi="Arial" w:cs="Times New Roman"/>
      <w:bCs/>
      <w:i/>
      <w:sz w:val="20"/>
      <w:lang w:eastAsia="sl-SI"/>
    </w:rPr>
  </w:style>
  <w:style w:type="character" w:customStyle="1" w:styleId="Naslov7Znak">
    <w:name w:val="Naslov 7 Znak"/>
    <w:aliases w:val="Heading 7a Znak"/>
    <w:basedOn w:val="Privzetapisavaodstavka"/>
    <w:link w:val="Naslov7"/>
    <w:rsid w:val="0095480B"/>
    <w:rPr>
      <w:rFonts w:ascii="Arial" w:eastAsia="Times New Roman" w:hAnsi="Arial" w:cs="Times New Roman"/>
      <w:sz w:val="20"/>
      <w:szCs w:val="24"/>
      <w:lang w:eastAsia="sl-SI"/>
    </w:rPr>
  </w:style>
  <w:style w:type="character" w:customStyle="1" w:styleId="Naslov8Znak">
    <w:name w:val="Naslov 8 Znak"/>
    <w:aliases w:val="Heading 8a Znak"/>
    <w:basedOn w:val="Privzetapisavaodstavka"/>
    <w:link w:val="Naslov8"/>
    <w:rsid w:val="0095480B"/>
    <w:rPr>
      <w:rFonts w:ascii="Times New Roman" w:eastAsia="Times New Roman" w:hAnsi="Times New Roman" w:cs="Times New Roman"/>
      <w:i/>
      <w:iCs/>
      <w:sz w:val="24"/>
      <w:szCs w:val="24"/>
      <w:lang w:eastAsia="sl-SI"/>
    </w:rPr>
  </w:style>
  <w:style w:type="character" w:customStyle="1" w:styleId="Naslov9Znak">
    <w:name w:val="Naslov 9 Znak"/>
    <w:aliases w:val="Heading 9a Znak"/>
    <w:basedOn w:val="Privzetapisavaodstavka"/>
    <w:link w:val="Naslov9"/>
    <w:rsid w:val="0095480B"/>
    <w:rPr>
      <w:rFonts w:ascii="Arial" w:eastAsia="Times New Roman" w:hAnsi="Arial" w:cs="Arial"/>
      <w:lang w:eastAsia="sl-SI"/>
    </w:rPr>
  </w:style>
  <w:style w:type="paragraph" w:styleId="Noga">
    <w:name w:val="footer"/>
    <w:aliases w:val="APEK-5,Znak, Znak"/>
    <w:basedOn w:val="Navaden"/>
    <w:link w:val="NogaZnak"/>
    <w:unhideWhenUsed/>
    <w:rsid w:val="0095480B"/>
    <w:pPr>
      <w:tabs>
        <w:tab w:val="center" w:pos="4536"/>
        <w:tab w:val="right" w:pos="9072"/>
      </w:tabs>
      <w:spacing w:after="0" w:line="240" w:lineRule="auto"/>
    </w:pPr>
  </w:style>
  <w:style w:type="character" w:customStyle="1" w:styleId="NogaZnak">
    <w:name w:val="Noga Znak"/>
    <w:aliases w:val="APEK-5 Znak,Znak Znak, Znak Znak"/>
    <w:basedOn w:val="Privzetapisavaodstavka"/>
    <w:link w:val="Noga"/>
    <w:rsid w:val="0095480B"/>
    <w:rPr>
      <w:lang w:val="en-US"/>
    </w:rPr>
  </w:style>
  <w:style w:type="paragraph" w:styleId="Odstavekseznama">
    <w:name w:val="List Paragraph"/>
    <w:basedOn w:val="Navaden"/>
    <w:link w:val="OdstavekseznamaZnak"/>
    <w:uiPriority w:val="34"/>
    <w:qFormat/>
    <w:rsid w:val="0095480B"/>
    <w:pPr>
      <w:ind w:left="720"/>
      <w:contextualSpacing/>
    </w:pPr>
  </w:style>
  <w:style w:type="character" w:customStyle="1" w:styleId="OdstavekseznamaZnak">
    <w:name w:val="Odstavek seznama Znak"/>
    <w:basedOn w:val="Privzetapisavaodstavka"/>
    <w:link w:val="Odstavekseznama"/>
    <w:uiPriority w:val="34"/>
    <w:locked/>
    <w:rsid w:val="0095480B"/>
    <w:rPr>
      <w:lang w:val="en-US"/>
    </w:rPr>
  </w:style>
  <w:style w:type="paragraph" w:styleId="Glava">
    <w:name w:val="header"/>
    <w:basedOn w:val="Navaden"/>
    <w:link w:val="GlavaZnak"/>
    <w:uiPriority w:val="99"/>
    <w:unhideWhenUsed/>
    <w:rsid w:val="0095480B"/>
    <w:pPr>
      <w:tabs>
        <w:tab w:val="center" w:pos="4536"/>
        <w:tab w:val="right" w:pos="9072"/>
      </w:tabs>
      <w:spacing w:after="0" w:line="240" w:lineRule="auto"/>
    </w:pPr>
  </w:style>
  <w:style w:type="character" w:customStyle="1" w:styleId="GlavaZnak">
    <w:name w:val="Glava Znak"/>
    <w:basedOn w:val="Privzetapisavaodstavka"/>
    <w:link w:val="Glava"/>
    <w:uiPriority w:val="99"/>
    <w:rsid w:val="0095480B"/>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661</Words>
  <Characters>3772</Characters>
  <Application>Microsoft Office Word</Application>
  <DocSecurity>4</DocSecurity>
  <Lines>31</Lines>
  <Paragraphs>8</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4425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Tominc Matjaž</dc:creator>
  <cp:lastModifiedBy>Marko Movrin</cp:lastModifiedBy>
  <cp:revision>2</cp:revision>
  <dcterms:created xsi:type="dcterms:W3CDTF">2017-05-11T12:53:00Z</dcterms:created>
  <dcterms:modified xsi:type="dcterms:W3CDTF">2017-05-11T12:53:00Z</dcterms:modified>
</cp:coreProperties>
</file>